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6" w:type="dxa"/>
        <w:tblBorders>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26"/>
      </w:tblGrid>
      <w:tr w:rsidR="00000000" w14:paraId="2F6DA03D" w14:textId="77777777">
        <w:tblPrEx>
          <w:tblCellMar>
            <w:top w:w="0" w:type="dxa"/>
            <w:bottom w:w="0" w:type="dxa"/>
          </w:tblCellMar>
        </w:tblPrEx>
        <w:trPr>
          <w:trHeight w:val="359"/>
        </w:trPr>
        <w:tc>
          <w:tcPr>
            <w:tcW w:w="9726" w:type="dxa"/>
            <w:shd w:val="thinHorzStripe" w:color="auto" w:fill="FFFFFF"/>
          </w:tcPr>
          <w:p w14:paraId="4DE6EF0D" w14:textId="77777777" w:rsidR="00000000" w:rsidRDefault="00F23251">
            <w:pPr>
              <w:framePr w:hSpace="142" w:wrap="around" w:vAnchor="text" w:hAnchor="page" w:x="1245" w:y="7"/>
              <w:ind w:right="-507"/>
              <w:rPr>
                <w:rFonts w:hint="eastAsia"/>
              </w:rPr>
            </w:pPr>
            <w:r>
              <w:rPr>
                <w:noProof/>
                <w:sz w:val="20"/>
              </w:rPr>
              <w:pict w14:anchorId="38F88905">
                <v:shapetype id="_x0000_t202" coordsize="21600,21600" o:spt="202" path="m,l,21600r21600,l21600,xe">
                  <v:stroke joinstyle="miter"/>
                  <v:path gradientshapeok="t" o:connecttype="rect"/>
                </v:shapetype>
                <v:shape id="_x0000_s1045" type="#_x0000_t202" style="position:absolute;left:0;text-align:left;margin-left:4.65pt;margin-top:-.05pt;width:195pt;height:77.85pt;z-index:1" filled="f" stroked="f">
                  <v:textbox style="mso-next-textbox:#_x0000_s1045" inset=",2.07mm">
                    <w:txbxContent>
                      <w:p w14:paraId="709633BE" w14:textId="77777777" w:rsidR="00000000" w:rsidRDefault="00F23251">
                        <w:pPr>
                          <w:rPr>
                            <w:rFonts w:eastAsia="HGPｺﾞｼｯｸE" w:hint="eastAsia"/>
                            <w:i/>
                            <w:sz w:val="80"/>
                          </w:rPr>
                        </w:pPr>
                        <w:r>
                          <w:rPr>
                            <w:rFonts w:eastAsia="HGPｺﾞｼｯｸE" w:hint="eastAsia"/>
                            <w:i/>
                            <w:sz w:val="80"/>
                          </w:rPr>
                          <w:t>生活衛生</w:t>
                        </w:r>
                      </w:p>
                      <w:p w14:paraId="4D4BFFB3" w14:textId="77777777" w:rsidR="00000000" w:rsidRDefault="00F23251">
                        <w:pPr>
                          <w:rPr>
                            <w:sz w:val="72"/>
                          </w:rPr>
                        </w:pPr>
                      </w:p>
                    </w:txbxContent>
                  </v:textbox>
                </v:shape>
              </w:pict>
            </w:r>
          </w:p>
        </w:tc>
      </w:tr>
    </w:tbl>
    <w:p w14:paraId="1BA907D3" w14:textId="77777777" w:rsidR="00000000" w:rsidRDefault="00F23251">
      <w:pPr>
        <w:jc w:val="center"/>
        <w:rPr>
          <w:rFonts w:hint="eastAsia"/>
          <w:sz w:val="22"/>
        </w:rPr>
      </w:pPr>
      <w:r>
        <w:rPr>
          <w:rFonts w:eastAsia="HGPｺﾞｼｯｸE" w:hint="eastAsia"/>
          <w:sz w:val="24"/>
        </w:rPr>
        <w:t xml:space="preserve">　　　　　　　　　　　　　　　　　　　　　　　　</w:t>
      </w:r>
      <w:r>
        <w:rPr>
          <w:rFonts w:eastAsia="HGPｺﾞｼｯｸE" w:hint="eastAsia"/>
          <w:i/>
          <w:sz w:val="22"/>
        </w:rPr>
        <w:t>Ｈｏｔ　Ｉｎｆｏｒｍａｔｉｏｎ</w:t>
      </w:r>
      <w:r>
        <w:rPr>
          <w:rFonts w:hint="eastAsia"/>
        </w:rPr>
        <w:t xml:space="preserve">　　　　</w:t>
      </w:r>
      <w:r>
        <w:rPr>
          <w:rFonts w:hint="eastAsia"/>
        </w:rPr>
        <w:t xml:space="preserve"> </w:t>
      </w:r>
      <w:r>
        <w:rPr>
          <w:rFonts w:hint="eastAsia"/>
        </w:rPr>
        <w:t xml:space="preserve">　　</w:t>
      </w:r>
      <w:r>
        <w:rPr>
          <w:rFonts w:ascii="HGPｺﾞｼｯｸE" w:eastAsia="HGPｺﾞｼｯｸE" w:hint="eastAsia"/>
          <w:sz w:val="22"/>
        </w:rPr>
        <w:t>№</w:t>
      </w:r>
      <w:r>
        <w:rPr>
          <w:rFonts w:ascii="HGPｺﾞｼｯｸE" w:eastAsia="HGPｺﾞｼｯｸE" w:hint="eastAsia"/>
          <w:sz w:val="22"/>
        </w:rPr>
        <w:t>23</w:t>
      </w:r>
      <w:r>
        <w:rPr>
          <w:rFonts w:ascii="HGPｺﾞｼｯｸE" w:eastAsia="HGPｺﾞｼｯｸE" w:hint="eastAsia"/>
          <w:sz w:val="22"/>
        </w:rPr>
        <w:t xml:space="preserve">　</w:t>
      </w:r>
      <w:r>
        <w:rPr>
          <w:rFonts w:ascii="HGPｺﾞｼｯｸE" w:eastAsia="HGPｺﾞｼｯｸE" w:hint="eastAsia"/>
          <w:sz w:val="22"/>
        </w:rPr>
        <w:t xml:space="preserve"> 2004</w:t>
      </w:r>
      <w:r>
        <w:rPr>
          <w:rFonts w:ascii="HGPｺﾞｼｯｸE" w:eastAsia="HGPｺﾞｼｯｸE" w:hint="eastAsia"/>
          <w:sz w:val="22"/>
        </w:rPr>
        <w:t>．</w:t>
      </w:r>
      <w:r>
        <w:rPr>
          <w:rFonts w:ascii="HGPｺﾞｼｯｸE" w:eastAsia="HGPｺﾞｼｯｸE" w:hint="eastAsia"/>
          <w:sz w:val="22"/>
        </w:rPr>
        <w:t xml:space="preserve"> 4</w:t>
      </w:r>
      <w:r>
        <w:rPr>
          <w:rFonts w:ascii="HGPｺﾞｼｯｸE" w:eastAsia="HGPｺﾞｼｯｸE" w:hint="eastAsia"/>
          <w:sz w:val="22"/>
        </w:rPr>
        <w:t>．</w:t>
      </w:r>
      <w:r>
        <w:rPr>
          <w:rFonts w:ascii="HGPｺﾞｼｯｸE" w:eastAsia="HGPｺﾞｼｯｸE" w:hint="eastAsia"/>
          <w:sz w:val="22"/>
        </w:rPr>
        <w:t>28</w:t>
      </w:r>
    </w:p>
    <w:p w14:paraId="3E9DDDF4" w14:textId="77777777" w:rsidR="00000000" w:rsidRDefault="00F23251">
      <w:pPr>
        <w:rPr>
          <w:rFonts w:ascii="HGPｺﾞｼｯｸE" w:eastAsia="HGPｺﾞｼｯｸE" w:hint="eastAsia"/>
        </w:rPr>
      </w:pPr>
      <w:r>
        <w:rPr>
          <w:noProof/>
          <w:sz w:val="20"/>
        </w:rPr>
        <w:pict w14:anchorId="31AD5B49">
          <v:shape id="_x0000_s1046" type="#_x0000_t202" style="position:absolute;left:0;text-align:left;margin-left:182.7pt;margin-top:1.25pt;width:294.35pt;height:31.9pt;z-index:2" filled="f" stroked="f">
            <v:textbox style="mso-next-textbox:#_x0000_s1046">
              <w:txbxContent>
                <w:p w14:paraId="10913BC3" w14:textId="77777777" w:rsidR="00000000" w:rsidRDefault="00F23251">
                  <w:pPr>
                    <w:rPr>
                      <w:rFonts w:eastAsia="HGPｺﾞｼｯｸE"/>
                    </w:rPr>
                  </w:pPr>
                  <w:r>
                    <w:rPr>
                      <w:rFonts w:eastAsia="HGPｺﾞｼｯｸE" w:hint="eastAsia"/>
                      <w:sz w:val="28"/>
                    </w:rPr>
                    <w:t xml:space="preserve">ホット・インフォメーション　</w:t>
                  </w:r>
                  <w:r>
                    <w:rPr>
                      <w:rFonts w:eastAsia="HGPｺﾞｼｯｸE" w:hint="eastAsia"/>
                      <w:sz w:val="28"/>
                    </w:rPr>
                    <w:t xml:space="preserve"> </w:t>
                  </w:r>
                  <w:r>
                    <w:rPr>
                      <w:rFonts w:ascii="HGPｺﾞｼｯｸE" w:eastAsia="HGPｺﾞｼｯｸE" w:hint="eastAsia"/>
                      <w:sz w:val="22"/>
                    </w:rPr>
                    <w:t xml:space="preserve">　　　　笈　川　和　男</w:t>
                  </w:r>
                </w:p>
              </w:txbxContent>
            </v:textbox>
          </v:shape>
        </w:pict>
      </w:r>
      <w:r>
        <w:rPr>
          <w:rFonts w:hint="eastAsia"/>
        </w:rPr>
        <w:t xml:space="preserve">　　　　　　　　　　　　　　　　　　　　　　　　　　　　　　　　　</w:t>
      </w:r>
      <w:r>
        <w:rPr>
          <w:rFonts w:hint="eastAsia"/>
        </w:rPr>
        <w:t xml:space="preserve">         </w:t>
      </w:r>
    </w:p>
    <w:tbl>
      <w:tblPr>
        <w:tblpPr w:leftFromText="142" w:rightFromText="142" w:vertAnchor="text" w:horzAnchor="margin" w:tblpX="99" w:tblpY="28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000000" w14:paraId="69AE1594" w14:textId="77777777">
        <w:tblPrEx>
          <w:tblCellMar>
            <w:top w:w="0" w:type="dxa"/>
            <w:bottom w:w="0" w:type="dxa"/>
          </w:tblCellMar>
        </w:tblPrEx>
        <w:trPr>
          <w:trHeight w:val="68"/>
        </w:trPr>
        <w:tc>
          <w:tcPr>
            <w:tcW w:w="9640" w:type="dxa"/>
            <w:tcBorders>
              <w:top w:val="nil"/>
              <w:left w:val="nil"/>
              <w:bottom w:val="nil"/>
              <w:right w:val="nil"/>
            </w:tcBorders>
            <w:shd w:val="thinHorzStripe" w:color="auto" w:fill="FFFFFF"/>
          </w:tcPr>
          <w:p w14:paraId="4958AB3D" w14:textId="77777777" w:rsidR="00000000" w:rsidRDefault="00F23251">
            <w:pPr>
              <w:rPr>
                <w:rFonts w:hint="eastAsia"/>
              </w:rPr>
            </w:pPr>
          </w:p>
        </w:tc>
      </w:tr>
      <w:tr w:rsidR="00000000" w14:paraId="61FD124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2273"/>
        </w:trPr>
        <w:tc>
          <w:tcPr>
            <w:tcW w:w="9640" w:type="dxa"/>
            <w:tcBorders>
              <w:top w:val="nil"/>
              <w:bottom w:val="single" w:sz="12" w:space="0" w:color="auto"/>
            </w:tcBorders>
          </w:tcPr>
          <w:p w14:paraId="567EC779" w14:textId="77777777" w:rsidR="00000000" w:rsidRDefault="00F23251">
            <w:pPr>
              <w:rPr>
                <w:rFonts w:eastAsia="HGPｺﾞｼｯｸE" w:hint="eastAsia"/>
                <w:sz w:val="24"/>
              </w:rPr>
            </w:pPr>
          </w:p>
          <w:p w14:paraId="58B75EB2" w14:textId="77777777" w:rsidR="00000000" w:rsidRDefault="00F23251">
            <w:pPr>
              <w:ind w:firstLineChars="800" w:firstLine="3465"/>
              <w:rPr>
                <w:rFonts w:eastAsia="HGPｺﾞｼｯｸE" w:hint="eastAsia"/>
                <w:sz w:val="44"/>
              </w:rPr>
            </w:pPr>
            <w:r>
              <w:rPr>
                <w:rFonts w:eastAsia="HGPｺﾞｼｯｸE" w:hint="eastAsia"/>
                <w:sz w:val="44"/>
              </w:rPr>
              <w:t>飲</w:t>
            </w:r>
            <w:r>
              <w:rPr>
                <w:rFonts w:eastAsia="HGPｺﾞｼｯｸE" w:hint="eastAsia"/>
                <w:sz w:val="44"/>
              </w:rPr>
              <w:t xml:space="preserve"> </w:t>
            </w:r>
            <w:r>
              <w:rPr>
                <w:rFonts w:eastAsia="HGPｺﾞｼｯｸE" w:hint="eastAsia"/>
                <w:sz w:val="44"/>
              </w:rPr>
              <w:t>食</w:t>
            </w:r>
            <w:r>
              <w:rPr>
                <w:rFonts w:eastAsia="HGPｺﾞｼｯｸE" w:hint="eastAsia"/>
                <w:sz w:val="44"/>
              </w:rPr>
              <w:t xml:space="preserve"> </w:t>
            </w:r>
            <w:r>
              <w:rPr>
                <w:rFonts w:eastAsia="HGPｺﾞｼｯｸE" w:hint="eastAsia"/>
                <w:sz w:val="44"/>
              </w:rPr>
              <w:t>起</w:t>
            </w:r>
            <w:r>
              <w:rPr>
                <w:rFonts w:eastAsia="HGPｺﾞｼｯｸE" w:hint="eastAsia"/>
                <w:sz w:val="44"/>
              </w:rPr>
              <w:t xml:space="preserve"> </w:t>
            </w:r>
            <w:r>
              <w:rPr>
                <w:rFonts w:eastAsia="HGPｺﾞｼｯｸE" w:hint="eastAsia"/>
                <w:sz w:val="44"/>
              </w:rPr>
              <w:t>因</w:t>
            </w:r>
            <w:r>
              <w:rPr>
                <w:rFonts w:eastAsia="HGPｺﾞｼｯｸE" w:hint="eastAsia"/>
                <w:sz w:val="44"/>
              </w:rPr>
              <w:t xml:space="preserve"> </w:t>
            </w:r>
            <w:r>
              <w:rPr>
                <w:rFonts w:eastAsia="HGPｺﾞｼｯｸE" w:hint="eastAsia"/>
                <w:sz w:val="44"/>
              </w:rPr>
              <w:t>疾</w:t>
            </w:r>
            <w:r>
              <w:rPr>
                <w:rFonts w:eastAsia="HGPｺﾞｼｯｸE" w:hint="eastAsia"/>
                <w:sz w:val="44"/>
              </w:rPr>
              <w:t xml:space="preserve"> </w:t>
            </w:r>
            <w:r>
              <w:rPr>
                <w:rFonts w:eastAsia="HGPｺﾞｼｯｸE" w:hint="eastAsia"/>
                <w:sz w:val="44"/>
              </w:rPr>
              <w:t>病</w:t>
            </w:r>
          </w:p>
          <w:p w14:paraId="0DB8C888" w14:textId="77777777" w:rsidR="00000000" w:rsidRDefault="00F23251">
            <w:pPr>
              <w:pStyle w:val="2"/>
              <w:framePr w:hSpace="0" w:wrap="auto" w:vAnchor="margin" w:hAnchor="text" w:yAlign="inline"/>
              <w:ind w:left="0" w:firstLine="0"/>
              <w:rPr>
                <w:rFonts w:eastAsia="HGPｺﾞｼｯｸE" w:hint="eastAsia"/>
                <w:sz w:val="24"/>
              </w:rPr>
            </w:pPr>
          </w:p>
          <w:p w14:paraId="04F1B22C" w14:textId="77777777" w:rsidR="00000000" w:rsidRDefault="00F23251">
            <w:pPr>
              <w:ind w:leftChars="840" w:left="1707" w:firstLineChars="100" w:firstLine="233"/>
              <w:rPr>
                <w:rFonts w:eastAsia="ＭＳ ゴシック" w:hint="eastAsia"/>
                <w:sz w:val="24"/>
              </w:rPr>
            </w:pPr>
            <w:r>
              <w:rPr>
                <w:rFonts w:eastAsia="ＭＳ ゴシック" w:hint="eastAsia"/>
                <w:sz w:val="24"/>
              </w:rPr>
              <w:t>４月１６日付けで米国疾病対策センター</w:t>
            </w:r>
            <w:r>
              <w:rPr>
                <w:rFonts w:eastAsia="ＭＳ ゴシック" w:hint="eastAsia"/>
                <w:sz w:val="24"/>
              </w:rPr>
              <w:t>(</w:t>
            </w:r>
            <w:r>
              <w:rPr>
                <w:rFonts w:eastAsia="ＭＳ ゴシック" w:hint="eastAsia"/>
                <w:sz w:val="24"/>
              </w:rPr>
              <w:t>ＣＤＣ</w:t>
            </w:r>
            <w:r>
              <w:rPr>
                <w:rFonts w:eastAsia="ＭＳ ゴシック" w:hint="eastAsia"/>
                <w:sz w:val="24"/>
              </w:rPr>
              <w:t>)</w:t>
            </w:r>
            <w:r>
              <w:rPr>
                <w:rFonts w:eastAsia="ＭＳ ゴシック" w:hint="eastAsia"/>
                <w:sz w:val="24"/>
              </w:rPr>
              <w:t>の疫学週報</w:t>
            </w:r>
            <w:r>
              <w:rPr>
                <w:rFonts w:eastAsia="ＭＳ ゴシック" w:hint="eastAsia"/>
                <w:sz w:val="24"/>
              </w:rPr>
              <w:t>(</w:t>
            </w:r>
            <w:r>
              <w:rPr>
                <w:rFonts w:eastAsia="ＭＳ ゴシック" w:hint="eastAsia"/>
                <w:sz w:val="24"/>
              </w:rPr>
              <w:t>ＭＭＷＲ</w:t>
            </w:r>
            <w:r>
              <w:rPr>
                <w:rFonts w:eastAsia="ＭＳ ゴシック" w:hint="eastAsia"/>
                <w:sz w:val="24"/>
              </w:rPr>
              <w:t>)</w:t>
            </w:r>
            <w:r>
              <w:rPr>
                <w:rFonts w:eastAsia="ＭＳ ゴシック" w:hint="eastAsia"/>
                <w:sz w:val="24"/>
              </w:rPr>
              <w:t>増刊号があり、「飲食起因疾病の診断と治療（医師及びその他医療関係者のための手引）」でした。飲食起因疾病が簡潔にまとめられ、監視指導等に大変参考になると思われますので、前文と飲食起因疾病一覧表の部</w:t>
            </w:r>
            <w:r>
              <w:rPr>
                <w:rFonts w:eastAsia="ＭＳ ゴシック" w:hint="eastAsia"/>
                <w:sz w:val="24"/>
              </w:rPr>
              <w:t>分を訳してお知らせします。</w:t>
            </w:r>
          </w:p>
          <w:p w14:paraId="474CEE44" w14:textId="77777777" w:rsidR="00000000" w:rsidRDefault="00F23251">
            <w:pPr>
              <w:rPr>
                <w:rFonts w:eastAsia="ＭＳ ゴシック" w:hint="eastAsia"/>
                <w:sz w:val="24"/>
              </w:rPr>
            </w:pPr>
          </w:p>
          <w:p w14:paraId="6D5D8DF4" w14:textId="77777777" w:rsidR="00000000" w:rsidRDefault="00F23251">
            <w:pPr>
              <w:pStyle w:val="2"/>
              <w:framePr w:hSpace="0" w:wrap="auto" w:vAnchor="margin" w:hAnchor="text" w:yAlign="inline"/>
              <w:ind w:left="1116" w:hangingChars="500" w:hanging="1116"/>
              <w:rPr>
                <w:rFonts w:ascii="ＭＳ 明朝" w:eastAsia="ＭＳ 明朝" w:hAnsi="ＭＳ 明朝" w:hint="eastAsia"/>
                <w:sz w:val="23"/>
              </w:rPr>
            </w:pPr>
            <w:r>
              <w:rPr>
                <w:rFonts w:hint="eastAsia"/>
                <w:sz w:val="23"/>
              </w:rPr>
              <w:t>雑誌名　ＭＭＷＲ</w:t>
            </w:r>
            <w:r>
              <w:rPr>
                <w:rFonts w:eastAsia="ＭＳ 明朝" w:hint="eastAsia"/>
                <w:sz w:val="23"/>
              </w:rPr>
              <w:t xml:space="preserve">　</w:t>
            </w:r>
            <w:r>
              <w:rPr>
                <w:rFonts w:eastAsia="ＭＳ 明朝"/>
                <w:sz w:val="23"/>
              </w:rPr>
              <w:t>April 16</w:t>
            </w:r>
            <w:r>
              <w:rPr>
                <w:rFonts w:eastAsia="ＭＳ 明朝" w:hint="eastAsia"/>
                <w:sz w:val="23"/>
              </w:rPr>
              <w:t>，</w:t>
            </w:r>
            <w:r>
              <w:rPr>
                <w:rFonts w:eastAsia="ＭＳ 明朝"/>
                <w:sz w:val="23"/>
              </w:rPr>
              <w:t>2004/53(RR04)</w:t>
            </w:r>
            <w:r>
              <w:rPr>
                <w:rFonts w:eastAsia="ＭＳ 明朝" w:hint="eastAsia"/>
                <w:sz w:val="23"/>
              </w:rPr>
              <w:t xml:space="preserve"> </w:t>
            </w:r>
            <w:r>
              <w:rPr>
                <w:rFonts w:eastAsia="ＭＳ 明朝" w:hint="eastAsia"/>
                <w:sz w:val="23"/>
              </w:rPr>
              <w:t>；</w:t>
            </w:r>
            <w:r>
              <w:rPr>
                <w:rFonts w:eastAsia="ＭＳ 明朝" w:hint="eastAsia"/>
                <w:sz w:val="23"/>
              </w:rPr>
              <w:t>1-33</w:t>
            </w:r>
          </w:p>
          <w:p w14:paraId="391BAF05" w14:textId="77777777" w:rsidR="00000000" w:rsidRDefault="00F23251">
            <w:pPr>
              <w:ind w:left="893" w:hangingChars="400" w:hanging="893"/>
              <w:rPr>
                <w:rFonts w:ascii="ＭＳ Ｐゴシック" w:hAnsi="ＭＳ Ｐゴシック" w:hint="eastAsia"/>
                <w:sz w:val="23"/>
              </w:rPr>
            </w:pPr>
            <w:r>
              <w:rPr>
                <w:rFonts w:eastAsia="ＭＳ ゴシック" w:hAnsi="ＭＳ 明朝" w:hint="eastAsia"/>
                <w:sz w:val="23"/>
              </w:rPr>
              <w:t>書　名</w:t>
            </w:r>
            <w:r>
              <w:rPr>
                <w:rFonts w:ascii="ＭＳ ゴシック" w:eastAsia="ＭＳ ゴシック" w:hAnsi="ＭＳ 明朝" w:hint="eastAsia"/>
                <w:sz w:val="23"/>
              </w:rPr>
              <w:t xml:space="preserve">　</w:t>
            </w:r>
            <w:r>
              <w:rPr>
                <w:rFonts w:ascii="ＭＳ Ｐゴシック" w:hAnsi="ＭＳ Ｐゴシック"/>
                <w:sz w:val="23"/>
              </w:rPr>
              <w:t>Diagnosis and Management of Foodborne Illnesses</w:t>
            </w:r>
            <w:r>
              <w:rPr>
                <w:rFonts w:ascii="ＭＳ Ｐゴシック" w:hAnsi="ＭＳ Ｐゴシック" w:hint="eastAsia"/>
                <w:sz w:val="23"/>
              </w:rPr>
              <w:t>：</w:t>
            </w:r>
            <w:r>
              <w:rPr>
                <w:rFonts w:ascii="ＭＳ Ｐゴシック" w:hAnsi="ＭＳ Ｐゴシック"/>
                <w:sz w:val="23"/>
              </w:rPr>
              <w:t>A Primer for Physicians and Other Health Care Professionals</w:t>
            </w:r>
          </w:p>
          <w:p w14:paraId="76162383" w14:textId="77777777" w:rsidR="00000000" w:rsidRDefault="00F23251">
            <w:pPr>
              <w:ind w:leftChars="315" w:left="863" w:hangingChars="100" w:hanging="223"/>
              <w:rPr>
                <w:rFonts w:hint="eastAsia"/>
                <w:sz w:val="22"/>
              </w:rPr>
            </w:pPr>
            <w:r>
              <w:rPr>
                <w:rFonts w:hint="eastAsia"/>
                <w:sz w:val="23"/>
              </w:rPr>
              <w:t>（</w:t>
            </w:r>
            <w:r>
              <w:rPr>
                <w:rFonts w:eastAsia="ＭＳ ゴシック" w:hint="eastAsia"/>
                <w:sz w:val="23"/>
              </w:rPr>
              <w:t>飲食起因疾病の診断と治療：医師及びその他医療関係者のための手引</w:t>
            </w:r>
            <w:r>
              <w:rPr>
                <w:rFonts w:hint="eastAsia"/>
                <w:sz w:val="23"/>
              </w:rPr>
              <w:t>）</w:t>
            </w:r>
          </w:p>
          <w:p w14:paraId="4A5D4A7B" w14:textId="77777777" w:rsidR="00000000" w:rsidRDefault="00F23251">
            <w:pPr>
              <w:ind w:left="933" w:hangingChars="400" w:hanging="933"/>
              <w:rPr>
                <w:rFonts w:hint="eastAsia"/>
                <w:sz w:val="24"/>
              </w:rPr>
            </w:pPr>
          </w:p>
          <w:p w14:paraId="77FF2E1E" w14:textId="77777777" w:rsidR="00000000" w:rsidRDefault="00F23251">
            <w:pPr>
              <w:rPr>
                <w:rFonts w:eastAsia="ＭＳ ゴシック" w:hint="eastAsia"/>
                <w:sz w:val="24"/>
                <w:bdr w:val="single" w:sz="4" w:space="0" w:color="auto"/>
              </w:rPr>
            </w:pPr>
            <w:r>
              <w:rPr>
                <w:rFonts w:eastAsia="ＭＳ ゴシック" w:hint="eastAsia"/>
                <w:sz w:val="24"/>
              </w:rPr>
              <w:t>前</w:t>
            </w:r>
            <w:r>
              <w:rPr>
                <w:rFonts w:eastAsia="ＭＳ ゴシック" w:hint="eastAsia"/>
                <w:sz w:val="24"/>
              </w:rPr>
              <w:t xml:space="preserve"> </w:t>
            </w:r>
            <w:r>
              <w:rPr>
                <w:rFonts w:eastAsia="ＭＳ ゴシック" w:hint="eastAsia"/>
                <w:sz w:val="24"/>
              </w:rPr>
              <w:t>文</w:t>
            </w:r>
          </w:p>
          <w:p w14:paraId="13992226" w14:textId="77777777" w:rsidR="00000000" w:rsidRDefault="00F23251">
            <w:pPr>
              <w:ind w:firstLineChars="100" w:firstLine="213"/>
              <w:rPr>
                <w:rFonts w:ascii="ＭＳ 明朝" w:hAnsi="ＭＳ 明朝" w:hint="eastAsia"/>
                <w:sz w:val="22"/>
              </w:rPr>
            </w:pPr>
            <w:r>
              <w:rPr>
                <w:rFonts w:ascii="ＭＳ 明朝" w:hAnsi="ＭＳ 明朝" w:hint="eastAsia"/>
                <w:sz w:val="22"/>
              </w:rPr>
              <w:t>飲食起因疾病は重要な公衆衛生上の問題です。ＣＤＣ（疾病対策センター）は飲食起因疾病により毎年</w:t>
            </w:r>
            <w:r>
              <w:rPr>
                <w:rFonts w:hint="eastAsia"/>
                <w:sz w:val="22"/>
              </w:rPr>
              <w:t>7,600</w:t>
            </w:r>
            <w:r>
              <w:rPr>
                <w:rFonts w:hint="eastAsia"/>
                <w:sz w:val="22"/>
              </w:rPr>
              <w:t>万</w:t>
            </w:r>
            <w:r>
              <w:rPr>
                <w:rFonts w:hint="eastAsia"/>
                <w:sz w:val="22"/>
              </w:rPr>
              <w:t>人が</w:t>
            </w:r>
            <w:r>
              <w:rPr>
                <w:rFonts w:ascii="ＭＳ 明朝" w:hAnsi="ＭＳ 明朝" w:hint="eastAsia"/>
                <w:sz w:val="22"/>
              </w:rPr>
              <w:t>罹患して、</w:t>
            </w:r>
            <w:r>
              <w:rPr>
                <w:rFonts w:hint="eastAsia"/>
                <w:sz w:val="22"/>
              </w:rPr>
              <w:t>30</w:t>
            </w:r>
            <w:r>
              <w:rPr>
                <w:rFonts w:ascii="ＭＳ 明朝" w:hAnsi="ＭＳ 明朝" w:hint="eastAsia"/>
                <w:sz w:val="22"/>
              </w:rPr>
              <w:t>万人以上が入院、</w:t>
            </w:r>
            <w:r>
              <w:rPr>
                <w:rFonts w:hint="eastAsia"/>
                <w:sz w:val="22"/>
              </w:rPr>
              <w:t>5,000</w:t>
            </w:r>
            <w:r>
              <w:rPr>
                <w:rFonts w:hint="eastAsia"/>
                <w:sz w:val="22"/>
              </w:rPr>
              <w:t>人が</w:t>
            </w:r>
            <w:r>
              <w:rPr>
                <w:rFonts w:ascii="ＭＳ 明朝" w:hAnsi="ＭＳ 明朝" w:hint="eastAsia"/>
                <w:sz w:val="22"/>
              </w:rPr>
              <w:t>死亡していると推定しています。第一に、幼児、年配者そして免疫力の低下者が影響を受けています。最近の人口構成及び食品の嗜好の変化によって、食品製造及び流通システムが変化し､微生物の適応化、公衆衛生の低下により、よく知られた従前の飲食起因疾病だけでなく新しい疾病が出現しています。旅行及び貿易の拡大によって、現在は地域的な飲食起因疾病が、ごく一般的に世界的に拡大する危険があります。</w:t>
            </w:r>
          </w:p>
          <w:p w14:paraId="74BFB8FC" w14:textId="77777777" w:rsidR="00000000" w:rsidRDefault="00F23251">
            <w:pPr>
              <w:ind w:firstLineChars="100" w:firstLine="213"/>
              <w:rPr>
                <w:rFonts w:ascii="ＭＳ 明朝" w:hAnsi="ＭＳ 明朝" w:hint="eastAsia"/>
                <w:sz w:val="22"/>
              </w:rPr>
            </w:pPr>
            <w:r>
              <w:rPr>
                <w:rFonts w:ascii="ＭＳ 明朝" w:hAnsi="ＭＳ 明朝" w:hint="eastAsia"/>
                <w:sz w:val="22"/>
              </w:rPr>
              <w:t>医師及びその他医療関係者は食品関連疾病の集団発生の予防と対策に重要な役割を持っていま</w:t>
            </w:r>
            <w:r>
              <w:rPr>
                <w:rFonts w:ascii="ＭＳ 明朝" w:hAnsi="ＭＳ 明朝" w:hint="eastAsia"/>
                <w:sz w:val="22"/>
              </w:rPr>
              <w:t>す。この手引きは飲食起因疾病の診断、治療、報告に関して、実用的で簡潔な情報の提供を目的としています。これはアメリカ医師協会、アメリカ看護協会、ＣＤＣ、食品医薬品局（ＦＤＡ）食品安全・栄養センター、アメリカ農務省（ＵＳＤＡ）食品安全監視局が協力して作成しました。</w:t>
            </w:r>
          </w:p>
          <w:p w14:paraId="7A2889B0" w14:textId="77777777" w:rsidR="00000000" w:rsidRDefault="00F23251">
            <w:pPr>
              <w:ind w:firstLineChars="100" w:firstLine="213"/>
              <w:rPr>
                <w:rFonts w:ascii="ＭＳ 明朝" w:hAnsi="ＭＳ 明朝" w:hint="eastAsia"/>
                <w:sz w:val="22"/>
              </w:rPr>
            </w:pPr>
            <w:r>
              <w:rPr>
                <w:rFonts w:ascii="ＭＳ 明朝" w:hAnsi="ＭＳ 明朝" w:hint="eastAsia"/>
                <w:sz w:val="22"/>
              </w:rPr>
              <w:t>臨床医はこの手引きを再確認して、継続的な医学教育に関する学習の参加を勧めます。</w:t>
            </w:r>
          </w:p>
          <w:p w14:paraId="003725BE" w14:textId="77777777" w:rsidR="00000000" w:rsidRDefault="00F23251">
            <w:pPr>
              <w:rPr>
                <w:rFonts w:ascii="ＭＳ 明朝" w:hAnsi="ＭＳ 明朝" w:hint="eastAsia"/>
                <w:sz w:val="22"/>
              </w:rPr>
            </w:pPr>
          </w:p>
          <w:p w14:paraId="5EAFA6CA" w14:textId="77777777" w:rsidR="00000000" w:rsidRDefault="00F23251">
            <w:pPr>
              <w:rPr>
                <w:rFonts w:eastAsia="ＭＳ ゴシック" w:hint="eastAsia"/>
                <w:sz w:val="24"/>
              </w:rPr>
            </w:pPr>
            <w:r>
              <w:rPr>
                <w:rFonts w:eastAsia="ＭＳ ゴシック" w:hint="eastAsia"/>
                <w:sz w:val="24"/>
              </w:rPr>
              <w:t>飲食起因疾病一覧表</w:t>
            </w:r>
          </w:p>
          <w:p w14:paraId="139E7924" w14:textId="77777777" w:rsidR="00000000" w:rsidRDefault="00F23251">
            <w:pPr>
              <w:rPr>
                <w:rFonts w:hint="eastAsia"/>
                <w:sz w:val="22"/>
              </w:rPr>
            </w:pPr>
            <w:r>
              <w:rPr>
                <w:rFonts w:hint="eastAsia"/>
                <w:sz w:val="23"/>
              </w:rPr>
              <w:t xml:space="preserve">  </w:t>
            </w:r>
            <w:r>
              <w:rPr>
                <w:rFonts w:hint="eastAsia"/>
                <w:sz w:val="22"/>
              </w:rPr>
              <w:t>前号（</w:t>
            </w:r>
            <w:r>
              <w:rPr>
                <w:rFonts w:hint="eastAsia"/>
                <w:sz w:val="22"/>
              </w:rPr>
              <w:t>2001</w:t>
            </w:r>
            <w:r>
              <w:rPr>
                <w:rFonts w:hint="eastAsia"/>
                <w:sz w:val="22"/>
              </w:rPr>
              <w:t>年１月の増刊号）と同様に、飲食起因疾病を細菌・ウイルス・寄生動物・感染症以外に分類され、病因物質ごとに潜伏期間・症状・疾病期間・原</w:t>
            </w:r>
            <w:r>
              <w:rPr>
                <w:rFonts w:hint="eastAsia"/>
                <w:sz w:val="22"/>
              </w:rPr>
              <w:t>因食品・検査方法・治療を簡潔にまとめられています。しかし、カビ毒に関しての記載はありません。前号と比べ、寄生動物に広東住血線虫</w:t>
            </w:r>
            <w:r>
              <w:rPr>
                <w:sz w:val="22"/>
              </w:rPr>
              <w:t>(</w:t>
            </w:r>
            <w:proofErr w:type="spellStart"/>
            <w:r>
              <w:rPr>
                <w:i/>
                <w:iCs/>
                <w:sz w:val="22"/>
              </w:rPr>
              <w:t>Angiostrongylus</w:t>
            </w:r>
            <w:proofErr w:type="spellEnd"/>
            <w:r>
              <w:rPr>
                <w:i/>
                <w:iCs/>
                <w:sz w:val="22"/>
              </w:rPr>
              <w:t xml:space="preserve"> </w:t>
            </w:r>
            <w:proofErr w:type="spellStart"/>
            <w:r>
              <w:rPr>
                <w:i/>
                <w:iCs/>
                <w:sz w:val="22"/>
              </w:rPr>
              <w:t>cantonensis</w:t>
            </w:r>
            <w:proofErr w:type="spellEnd"/>
            <w:r>
              <w:rPr>
                <w:sz w:val="22"/>
              </w:rPr>
              <w:t>)</w:t>
            </w:r>
            <w:r>
              <w:rPr>
                <w:rFonts w:hint="eastAsia"/>
                <w:sz w:val="22"/>
              </w:rPr>
              <w:t>が追加され、ウイルスでノーウォーク様ウイルスがノロウイルスとなり内容が大きく変わり、他は少しずつ記載が多くなっています。</w:t>
            </w:r>
          </w:p>
          <w:p w14:paraId="419A0F34" w14:textId="77777777" w:rsidR="00000000" w:rsidRDefault="00F23251">
            <w:pPr>
              <w:ind w:firstLineChars="100" w:firstLine="213"/>
              <w:rPr>
                <w:rFonts w:hint="eastAsia"/>
                <w:sz w:val="22"/>
              </w:rPr>
            </w:pPr>
            <w:r>
              <w:rPr>
                <w:rFonts w:hint="eastAsia"/>
                <w:sz w:val="22"/>
              </w:rPr>
              <w:t>なお、翻訳するに当たり、病因物質は国内における名称として、米国固有の事項は除き、治療薬等についてはそのまま英語スペルとしました。</w:t>
            </w:r>
          </w:p>
          <w:p w14:paraId="4E460F69" w14:textId="77777777" w:rsidR="00000000" w:rsidRDefault="00F23251">
            <w:pPr>
              <w:pStyle w:val="a8"/>
              <w:rPr>
                <w:rFonts w:hint="eastAsia"/>
                <w:szCs w:val="24"/>
              </w:rPr>
            </w:pPr>
          </w:p>
          <w:p w14:paraId="70CA20F5" w14:textId="77777777" w:rsidR="00000000" w:rsidRDefault="00F23251">
            <w:pPr>
              <w:rPr>
                <w:rFonts w:eastAsia="ＭＳ ゴシック" w:hint="eastAsia"/>
                <w:sz w:val="24"/>
              </w:rPr>
            </w:pPr>
            <w:r>
              <w:rPr>
                <w:rFonts w:eastAsia="ＭＳ ゴシック" w:hint="eastAsia"/>
                <w:sz w:val="24"/>
              </w:rPr>
              <w:t>その他の内容</w:t>
            </w:r>
          </w:p>
          <w:p w14:paraId="155F53D6" w14:textId="77777777" w:rsidR="00000000" w:rsidRDefault="00F23251">
            <w:pPr>
              <w:ind w:firstLineChars="100" w:firstLine="213"/>
              <w:rPr>
                <w:rFonts w:hint="eastAsia"/>
                <w:sz w:val="22"/>
              </w:rPr>
            </w:pPr>
            <w:r>
              <w:rPr>
                <w:rFonts w:hint="eastAsia"/>
                <w:sz w:val="22"/>
              </w:rPr>
              <w:t>前号では、一覧表のほかにボツリヌス、腸管出血性大腸菌</w:t>
            </w:r>
            <w:r>
              <w:rPr>
                <w:rFonts w:hint="eastAsia"/>
                <w:sz w:val="22"/>
              </w:rPr>
              <w:t>O157</w:t>
            </w:r>
            <w:r>
              <w:rPr>
                <w:rFonts w:hint="eastAsia"/>
                <w:sz w:val="22"/>
              </w:rPr>
              <w:t>、リステリアの説明が大きく取り上げられていましたが、今号ではトキソプラズマ、Ａ型肝炎、ノロウイルス、薬剤耐性サルモネラ（特に</w:t>
            </w:r>
            <w:r>
              <w:rPr>
                <w:rFonts w:hint="eastAsia"/>
                <w:i/>
                <w:iCs/>
                <w:sz w:val="22"/>
              </w:rPr>
              <w:t>Salmonella</w:t>
            </w:r>
            <w:r>
              <w:rPr>
                <w:rFonts w:hint="eastAsia"/>
                <w:sz w:val="22"/>
              </w:rPr>
              <w:t xml:space="preserve"> Typhimurium DT104</w:t>
            </w:r>
            <w:r>
              <w:rPr>
                <w:rFonts w:hint="eastAsia"/>
                <w:sz w:val="22"/>
              </w:rPr>
              <w:t>）が大きく取り上げられています。</w:t>
            </w:r>
          </w:p>
          <w:p w14:paraId="052003E6" w14:textId="77777777" w:rsidR="00000000" w:rsidRDefault="00F23251">
            <w:pPr>
              <w:rPr>
                <w:rFonts w:ascii="ＭＳ 明朝" w:hAnsi="ＭＳ 明朝" w:hint="eastAsia"/>
              </w:rPr>
            </w:pPr>
          </w:p>
          <w:p w14:paraId="38424926" w14:textId="77777777" w:rsidR="00000000" w:rsidRDefault="00F23251">
            <w:pPr>
              <w:rPr>
                <w:rFonts w:ascii="ＭＳ 明朝" w:hAnsi="ＭＳ 明朝" w:hint="eastAsia"/>
                <w:sz w:val="22"/>
              </w:rPr>
            </w:pPr>
            <w:r>
              <w:rPr>
                <w:rFonts w:ascii="ＭＳ 明朝" w:hAnsi="ＭＳ 明朝" w:hint="eastAsia"/>
              </w:rPr>
              <w:t xml:space="preserve">  </w:t>
            </w:r>
            <w:r>
              <w:rPr>
                <w:rFonts w:ascii="ＭＳ 明朝" w:hAnsi="ＭＳ 明朝" w:hint="eastAsia"/>
                <w:sz w:val="22"/>
              </w:rPr>
              <w:t>＊不明の点等については、ＣＤＣのホームページで確認してください。（翻訳：笈川）</w:t>
            </w:r>
          </w:p>
        </w:tc>
      </w:tr>
    </w:tbl>
    <w:p w14:paraId="44B398C5" w14:textId="77777777" w:rsidR="00F23251" w:rsidRDefault="00F23251">
      <w:pPr>
        <w:ind w:firstLineChars="2509" w:firstLine="5097"/>
        <w:rPr>
          <w:rFonts w:hint="eastAsia"/>
        </w:rPr>
      </w:pPr>
      <w:r>
        <w:rPr>
          <w:rFonts w:eastAsia="ＭＳ ゴシック" w:hint="eastAsia"/>
        </w:rPr>
        <w:t xml:space="preserve">生活衛生ホットインフォメーション　</w:t>
      </w:r>
      <w:r>
        <w:rPr>
          <w:rFonts w:ascii="ＭＳ ゴシック" w:eastAsia="ＭＳ ゴシック" w:hAnsi="ＭＳ ゴシック" w:hint="eastAsia"/>
        </w:rPr>
        <w:t>№</w:t>
      </w:r>
      <w:r>
        <w:rPr>
          <w:rFonts w:ascii="ＭＳ ゴシック" w:eastAsia="ＭＳ ゴシック" w:hAnsi="ＭＳ ゴシック" w:hint="eastAsia"/>
        </w:rPr>
        <w:t>23</w:t>
      </w:r>
    </w:p>
    <w:sectPr w:rsidR="00F23251">
      <w:pgSz w:w="11907" w:h="16840" w:code="9"/>
      <w:pgMar w:top="1134" w:right="1134" w:bottom="1134" w:left="1134" w:header="851" w:footer="992" w:gutter="0"/>
      <w:pgBorders w:offsetFrom="page">
        <w:top w:val="dotted" w:sz="2" w:space="24" w:color="FFFFFF"/>
        <w:left w:val="dotted" w:sz="2" w:space="24" w:color="FFFFFF"/>
        <w:bottom w:val="dotted" w:sz="2" w:space="24" w:color="FFFFFF"/>
        <w:right w:val="dotted" w:sz="2" w:space="24" w:color="FFFFFF"/>
      </w:pgBorders>
      <w:cols w:space="425"/>
      <w:docGrid w:type="linesAndChars" w:linePitch="338"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C7E"/>
    <w:multiLevelType w:val="hybridMultilevel"/>
    <w:tmpl w:val="65D2BFB0"/>
    <w:lvl w:ilvl="0" w:tplc="FFFFFFFF">
      <w:start w:val="1"/>
      <w:numFmt w:val="decimalFullWidth"/>
      <w:lvlText w:val="%1．"/>
      <w:lvlJc w:val="left"/>
      <w:pPr>
        <w:tabs>
          <w:tab w:val="num" w:pos="582"/>
        </w:tabs>
        <w:ind w:left="582" w:hanging="390"/>
      </w:pPr>
      <w:rPr>
        <w:rFonts w:hint="eastAsia"/>
      </w:rPr>
    </w:lvl>
    <w:lvl w:ilvl="1" w:tplc="FFFFFFFF" w:tentative="1">
      <w:start w:val="1"/>
      <w:numFmt w:val="aiueoFullWidth"/>
      <w:lvlText w:val="(%2)"/>
      <w:lvlJc w:val="left"/>
      <w:pPr>
        <w:tabs>
          <w:tab w:val="num" w:pos="1032"/>
        </w:tabs>
        <w:ind w:left="1032" w:hanging="420"/>
      </w:pPr>
    </w:lvl>
    <w:lvl w:ilvl="2" w:tplc="FFFFFFFF" w:tentative="1">
      <w:start w:val="1"/>
      <w:numFmt w:val="decimalEnclosedCircle"/>
      <w:lvlText w:val="%3"/>
      <w:lvlJc w:val="left"/>
      <w:pPr>
        <w:tabs>
          <w:tab w:val="num" w:pos="1452"/>
        </w:tabs>
        <w:ind w:left="1452" w:hanging="420"/>
      </w:pPr>
    </w:lvl>
    <w:lvl w:ilvl="3" w:tplc="FFFFFFFF" w:tentative="1">
      <w:start w:val="1"/>
      <w:numFmt w:val="decimal"/>
      <w:lvlText w:val="%4."/>
      <w:lvlJc w:val="left"/>
      <w:pPr>
        <w:tabs>
          <w:tab w:val="num" w:pos="1872"/>
        </w:tabs>
        <w:ind w:left="1872" w:hanging="420"/>
      </w:pPr>
    </w:lvl>
    <w:lvl w:ilvl="4" w:tplc="FFFFFFFF" w:tentative="1">
      <w:start w:val="1"/>
      <w:numFmt w:val="aiueoFullWidth"/>
      <w:lvlText w:val="(%5)"/>
      <w:lvlJc w:val="left"/>
      <w:pPr>
        <w:tabs>
          <w:tab w:val="num" w:pos="2292"/>
        </w:tabs>
        <w:ind w:left="2292" w:hanging="420"/>
      </w:pPr>
    </w:lvl>
    <w:lvl w:ilvl="5" w:tplc="FFFFFFFF" w:tentative="1">
      <w:start w:val="1"/>
      <w:numFmt w:val="decimalEnclosedCircle"/>
      <w:lvlText w:val="%6"/>
      <w:lvlJc w:val="left"/>
      <w:pPr>
        <w:tabs>
          <w:tab w:val="num" w:pos="2712"/>
        </w:tabs>
        <w:ind w:left="2712" w:hanging="420"/>
      </w:pPr>
    </w:lvl>
    <w:lvl w:ilvl="6" w:tplc="FFFFFFFF" w:tentative="1">
      <w:start w:val="1"/>
      <w:numFmt w:val="decimal"/>
      <w:lvlText w:val="%7."/>
      <w:lvlJc w:val="left"/>
      <w:pPr>
        <w:tabs>
          <w:tab w:val="num" w:pos="3132"/>
        </w:tabs>
        <w:ind w:left="3132" w:hanging="420"/>
      </w:pPr>
    </w:lvl>
    <w:lvl w:ilvl="7" w:tplc="FFFFFFFF" w:tentative="1">
      <w:start w:val="1"/>
      <w:numFmt w:val="aiueoFullWidth"/>
      <w:lvlText w:val="(%8)"/>
      <w:lvlJc w:val="left"/>
      <w:pPr>
        <w:tabs>
          <w:tab w:val="num" w:pos="3552"/>
        </w:tabs>
        <w:ind w:left="3552" w:hanging="420"/>
      </w:pPr>
    </w:lvl>
    <w:lvl w:ilvl="8" w:tplc="FFFFFFFF" w:tentative="1">
      <w:start w:val="1"/>
      <w:numFmt w:val="decimalEnclosedCircle"/>
      <w:lvlText w:val="%9"/>
      <w:lvlJc w:val="left"/>
      <w:pPr>
        <w:tabs>
          <w:tab w:val="num" w:pos="3972"/>
        </w:tabs>
        <w:ind w:left="3972" w:hanging="420"/>
      </w:pPr>
    </w:lvl>
  </w:abstractNum>
  <w:abstractNum w:abstractNumId="1" w15:restartNumberingAfterBreak="0">
    <w:nsid w:val="2D1D62DA"/>
    <w:multiLevelType w:val="hybridMultilevel"/>
    <w:tmpl w:val="8632C922"/>
    <w:lvl w:ilvl="0" w:tplc="D5EA26D8">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25D4801"/>
    <w:multiLevelType w:val="hybridMultilevel"/>
    <w:tmpl w:val="5C6C0F86"/>
    <w:lvl w:ilvl="0" w:tplc="97D2FA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6E7F3D"/>
    <w:multiLevelType w:val="hybridMultilevel"/>
    <w:tmpl w:val="728E2AF4"/>
    <w:lvl w:ilvl="0" w:tplc="DA5A5E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900A04"/>
    <w:multiLevelType w:val="hybridMultilevel"/>
    <w:tmpl w:val="203282E8"/>
    <w:lvl w:ilvl="0" w:tplc="FFFFFFFF">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7A57F1E"/>
    <w:multiLevelType w:val="hybridMultilevel"/>
    <w:tmpl w:val="347C0018"/>
    <w:lvl w:ilvl="0" w:tplc="B42EC3AC">
      <w:numFmt w:val="bullet"/>
      <w:lvlText w:val="＊"/>
      <w:lvlJc w:val="left"/>
      <w:pPr>
        <w:tabs>
          <w:tab w:val="num" w:pos="563"/>
        </w:tabs>
        <w:ind w:left="563" w:hanging="360"/>
      </w:pPr>
      <w:rPr>
        <w:rFonts w:ascii="Times New Roman" w:eastAsia="ＭＳ 明朝" w:hAnsi="Times New Roman" w:cs="Times New Roman" w:hint="default"/>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6" w15:restartNumberingAfterBreak="0">
    <w:nsid w:val="3E6B54F7"/>
    <w:multiLevelType w:val="hybridMultilevel"/>
    <w:tmpl w:val="F73C48FE"/>
    <w:lvl w:ilvl="0" w:tplc="58BA4C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752B11"/>
    <w:multiLevelType w:val="hybridMultilevel"/>
    <w:tmpl w:val="E09C713E"/>
    <w:lvl w:ilvl="0" w:tplc="C2445BA0">
      <w:start w:val="1"/>
      <w:numFmt w:val="decimal"/>
      <w:lvlText w:val="%1."/>
      <w:lvlJc w:val="left"/>
      <w:pPr>
        <w:tabs>
          <w:tab w:val="num" w:pos="720"/>
        </w:tabs>
        <w:ind w:left="720" w:hanging="360"/>
      </w:pPr>
    </w:lvl>
    <w:lvl w:ilvl="1" w:tplc="931C1A56" w:tentative="1">
      <w:start w:val="1"/>
      <w:numFmt w:val="decimal"/>
      <w:lvlText w:val="%2."/>
      <w:lvlJc w:val="left"/>
      <w:pPr>
        <w:tabs>
          <w:tab w:val="num" w:pos="1440"/>
        </w:tabs>
        <w:ind w:left="1440" w:hanging="360"/>
      </w:pPr>
    </w:lvl>
    <w:lvl w:ilvl="2" w:tplc="BE2AF902" w:tentative="1">
      <w:start w:val="1"/>
      <w:numFmt w:val="decimal"/>
      <w:lvlText w:val="%3."/>
      <w:lvlJc w:val="left"/>
      <w:pPr>
        <w:tabs>
          <w:tab w:val="num" w:pos="2160"/>
        </w:tabs>
        <w:ind w:left="2160" w:hanging="360"/>
      </w:pPr>
    </w:lvl>
    <w:lvl w:ilvl="3" w:tplc="8DEE7DDA" w:tentative="1">
      <w:start w:val="1"/>
      <w:numFmt w:val="decimal"/>
      <w:lvlText w:val="%4."/>
      <w:lvlJc w:val="left"/>
      <w:pPr>
        <w:tabs>
          <w:tab w:val="num" w:pos="2880"/>
        </w:tabs>
        <w:ind w:left="2880" w:hanging="360"/>
      </w:pPr>
    </w:lvl>
    <w:lvl w:ilvl="4" w:tplc="9B8A7AD6" w:tentative="1">
      <w:start w:val="1"/>
      <w:numFmt w:val="decimal"/>
      <w:lvlText w:val="%5."/>
      <w:lvlJc w:val="left"/>
      <w:pPr>
        <w:tabs>
          <w:tab w:val="num" w:pos="3600"/>
        </w:tabs>
        <w:ind w:left="3600" w:hanging="360"/>
      </w:pPr>
    </w:lvl>
    <w:lvl w:ilvl="5" w:tplc="D384F702" w:tentative="1">
      <w:start w:val="1"/>
      <w:numFmt w:val="decimal"/>
      <w:lvlText w:val="%6."/>
      <w:lvlJc w:val="left"/>
      <w:pPr>
        <w:tabs>
          <w:tab w:val="num" w:pos="4320"/>
        </w:tabs>
        <w:ind w:left="4320" w:hanging="360"/>
      </w:pPr>
    </w:lvl>
    <w:lvl w:ilvl="6" w:tplc="B852C48C" w:tentative="1">
      <w:start w:val="1"/>
      <w:numFmt w:val="decimal"/>
      <w:lvlText w:val="%7."/>
      <w:lvlJc w:val="left"/>
      <w:pPr>
        <w:tabs>
          <w:tab w:val="num" w:pos="5040"/>
        </w:tabs>
        <w:ind w:left="5040" w:hanging="360"/>
      </w:pPr>
    </w:lvl>
    <w:lvl w:ilvl="7" w:tplc="BE2C4454" w:tentative="1">
      <w:start w:val="1"/>
      <w:numFmt w:val="decimal"/>
      <w:lvlText w:val="%8."/>
      <w:lvlJc w:val="left"/>
      <w:pPr>
        <w:tabs>
          <w:tab w:val="num" w:pos="5760"/>
        </w:tabs>
        <w:ind w:left="5760" w:hanging="360"/>
      </w:pPr>
    </w:lvl>
    <w:lvl w:ilvl="8" w:tplc="AC861388" w:tentative="1">
      <w:start w:val="1"/>
      <w:numFmt w:val="decimal"/>
      <w:lvlText w:val="%9."/>
      <w:lvlJc w:val="left"/>
      <w:pPr>
        <w:tabs>
          <w:tab w:val="num" w:pos="6480"/>
        </w:tabs>
        <w:ind w:left="6480" w:hanging="360"/>
      </w:pPr>
    </w:lvl>
  </w:abstractNum>
  <w:abstractNum w:abstractNumId="8" w15:restartNumberingAfterBreak="0">
    <w:nsid w:val="646A722C"/>
    <w:multiLevelType w:val="hybridMultilevel"/>
    <w:tmpl w:val="2CBEC9A6"/>
    <w:lvl w:ilvl="0" w:tplc="A3AEE7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203"/>
  <w:drawingGridVerticalSpacing w:val="169"/>
  <w:displayHorizontalDrawingGridEvery w:val="0"/>
  <w:displayVerticalDrawingGridEvery w:val="2"/>
  <w:characterSpacingControl w:val="compressPunctuation"/>
  <w:savePreviewPicture/>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DD3"/>
    <w:rsid w:val="00594DD3"/>
    <w:rsid w:val="00F2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v:textbox inset="5.85pt,.7pt,5.85pt,.7pt"/>
    </o:shapedefaults>
    <o:shapelayout v:ext="edit">
      <o:idmap v:ext="edit" data="1"/>
    </o:shapelayout>
  </w:shapeDefaults>
  <w:decimalSymbol w:val="."/>
  <w:listSeparator w:val=","/>
  <w14:docId w14:val="0012A203"/>
  <w15:chartTrackingRefBased/>
  <w15:docId w15:val="{52D83B6A-5842-45C9-A033-AE9C3DCA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framePr w:hSpace="142" w:wrap="around" w:vAnchor="text" w:hAnchor="margin" w:y="2"/>
      <w:ind w:leftChars="105" w:left="208"/>
    </w:pPr>
    <w:rPr>
      <w:rFonts w:ascii="ＭＳ 明朝" w:hAnsi="ＭＳ 明朝"/>
      <w:sz w:val="22"/>
    </w:rPr>
  </w:style>
  <w:style w:type="paragraph" w:styleId="a4">
    <w:name w:val="Body Text"/>
    <w:basedOn w:val="a"/>
    <w:semiHidden/>
    <w:pPr>
      <w:framePr w:hSpace="142" w:wrap="around" w:vAnchor="text" w:hAnchor="margin" w:y="2"/>
    </w:pPr>
    <w:rPr>
      <w:rFonts w:eastAsia="ＭＳ ゴシック"/>
      <w:sz w:val="17"/>
    </w:rPr>
  </w:style>
  <w:style w:type="paragraph" w:styleId="2">
    <w:name w:val="Body Text Indent 2"/>
    <w:basedOn w:val="a"/>
    <w:semiHidden/>
    <w:pPr>
      <w:framePr w:hSpace="142" w:wrap="around" w:vAnchor="text" w:hAnchor="margin" w:y="2"/>
      <w:ind w:left="1890" w:firstLine="163"/>
    </w:pPr>
    <w:rPr>
      <w:rFonts w:eastAsia="ＭＳ ゴシック"/>
      <w:sz w:val="22"/>
    </w:rPr>
  </w:style>
  <w:style w:type="paragraph" w:styleId="3">
    <w:name w:val="Body Text Indent 3"/>
    <w:basedOn w:val="a"/>
    <w:semiHidden/>
    <w:pPr>
      <w:framePr w:hSpace="142" w:wrap="around" w:vAnchor="text" w:hAnchor="page" w:x="1059" w:y="452"/>
      <w:ind w:firstLineChars="100" w:firstLine="210"/>
    </w:pPr>
    <w:rPr>
      <w:rFonts w:ascii="ＭＳ 明朝" w:hAnsi="ＭＳ 明朝"/>
    </w:rPr>
  </w:style>
  <w:style w:type="character" w:styleId="a5">
    <w:name w:val="Hyperlink"/>
    <w:semiHidden/>
    <w:rPr>
      <w:color w:val="0000FF"/>
      <w:u w:val="single"/>
    </w:rPr>
  </w:style>
  <w:style w:type="character" w:styleId="a6">
    <w:name w:val="FollowedHyperlink"/>
    <w:semiHidden/>
    <w:rPr>
      <w:color w:val="800080"/>
      <w:u w:val="single"/>
    </w:rPr>
  </w:style>
  <w:style w:type="paragraph" w:styleId="20">
    <w:name w:val="Body Text 2"/>
    <w:basedOn w:val="a"/>
    <w:semiHidden/>
    <w:pPr>
      <w:framePr w:hSpace="142" w:wrap="around" w:vAnchor="text" w:hAnchor="page" w:x="1252" w:y="292"/>
    </w:pPr>
    <w:rPr>
      <w:rFonts w:ascii="ＭＳ 明朝" w:hAnsi="ＭＳ 明朝"/>
    </w:rPr>
  </w:style>
  <w:style w:type="paragraph" w:styleId="30">
    <w:name w:val="Body Text 3"/>
    <w:basedOn w:val="a"/>
    <w:semiHidden/>
    <w:rPr>
      <w:sz w:val="20"/>
    </w:rPr>
  </w:style>
  <w:style w:type="paragraph" w:styleId="a7">
    <w:name w:val="Plain Text"/>
    <w:basedOn w:val="a"/>
    <w:semiHidden/>
    <w:rPr>
      <w:rFonts w:ascii="ＭＳ 明朝" w:hAnsi="Courier New" w:cs="Courier New"/>
      <w:szCs w:val="21"/>
    </w:rPr>
  </w:style>
  <w:style w:type="paragraph" w:styleId="a8">
    <w:name w:val="Date"/>
    <w:basedOn w:val="a"/>
    <w:next w:val="a"/>
    <w:semiHidden/>
    <w:rPr>
      <w:sz w:val="22"/>
      <w:szCs w:val="20"/>
    </w:rPr>
  </w:style>
  <w:style w:type="paragraph" w:styleId="Web">
    <w:name w:val="Normal (Web)"/>
    <w:basedOn w:val="a"/>
    <w:semiHidden/>
    <w:pPr>
      <w:widowControl/>
      <w:spacing w:before="100" w:beforeAutospacing="1" w:after="100" w:afterAutospacing="1"/>
      <w:jc w:val="left"/>
    </w:pPr>
    <w:rPr>
      <w:rFonts w:ascii="Verdana" w:hAnsi="Verdana"/>
      <w:kern w:val="0"/>
      <w:sz w:val="16"/>
      <w:szCs w:val="16"/>
    </w:rPr>
  </w:style>
  <w:style w:type="paragraph" w:customStyle="1" w:styleId="reportedby">
    <w:name w:val="reportedby"/>
    <w:basedOn w:val="a"/>
    <w:pPr>
      <w:widowControl/>
      <w:shd w:val="clear" w:color="auto" w:fill="EEEEEE"/>
      <w:spacing w:before="100" w:beforeAutospacing="1" w:after="100" w:afterAutospacing="1"/>
      <w:jc w:val="left"/>
    </w:pPr>
    <w:rPr>
      <w:rFonts w:ascii="Verdana" w:hAnsi="Verdana"/>
      <w:color w:val="000000"/>
      <w:kern w:val="0"/>
      <w:sz w:val="16"/>
      <w:szCs w:val="16"/>
    </w:rPr>
  </w:style>
  <w:style w:type="paragraph" w:customStyle="1" w:styleId="title">
    <w:name w:val="title"/>
    <w:basedOn w:val="a"/>
    <w:pPr>
      <w:widowControl/>
      <w:pBdr>
        <w:top w:val="outset" w:sz="4" w:space="0" w:color="auto"/>
        <w:left w:val="outset" w:sz="4" w:space="0" w:color="auto"/>
        <w:bottom w:val="outset" w:sz="4" w:space="0" w:color="auto"/>
        <w:right w:val="outset" w:sz="4" w:space="0" w:color="auto"/>
      </w:pBdr>
      <w:shd w:val="clear" w:color="auto" w:fill="FFFF00"/>
      <w:spacing w:before="100" w:beforeAutospacing="1" w:after="100" w:afterAutospacing="1"/>
      <w:jc w:val="left"/>
    </w:pPr>
    <w:rPr>
      <w:rFonts w:ascii="Verdana" w:hAnsi="Verdana"/>
      <w:b/>
      <w:bCs/>
      <w:color w:val="0000FF"/>
      <w:kern w:val="0"/>
      <w:sz w:val="16"/>
      <w:szCs w:val="16"/>
    </w:rPr>
  </w:style>
  <w:style w:type="character" w:styleId="a9">
    <w:name w:val="Strong"/>
    <w:qFormat/>
    <w:rPr>
      <w:b/>
      <w:bCs/>
    </w:rPr>
  </w:style>
  <w:style w:type="character" w:styleId="aa">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笈川 和男</dc:creator>
  <cp:keywords/>
  <dc:description/>
  <cp:lastModifiedBy>笈川和男</cp:lastModifiedBy>
  <cp:revision>2</cp:revision>
  <cp:lastPrinted>2003-06-25T23:46:00Z</cp:lastPrinted>
  <dcterms:created xsi:type="dcterms:W3CDTF">2020-09-15T23:27:00Z</dcterms:created>
  <dcterms:modified xsi:type="dcterms:W3CDTF">2020-09-15T23:27:00Z</dcterms:modified>
</cp:coreProperties>
</file>